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70"/>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6"/>
        <w:gridCol w:w="1098"/>
        <w:gridCol w:w="974"/>
        <w:gridCol w:w="2166"/>
        <w:gridCol w:w="1969"/>
        <w:gridCol w:w="1559"/>
        <w:gridCol w:w="1417"/>
        <w:gridCol w:w="709"/>
      </w:tblGrid>
      <w:tr w:rsidR="00C53E77"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序号</w:t>
            </w:r>
          </w:p>
        </w:tc>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学院</w:t>
            </w:r>
          </w:p>
        </w:tc>
        <w:tc>
          <w:tcPr>
            <w:tcW w:w="0" w:type="auto"/>
            <w:shd w:val="clear" w:color="auto" w:fill="auto"/>
            <w:vAlign w:val="center"/>
            <w:hideMark/>
          </w:tcPr>
          <w:p w:rsidR="00C53E77" w:rsidRDefault="00C53E77" w:rsidP="00C53E77">
            <w:pPr>
              <w:widowControl/>
              <w:spacing w:before="75" w:afterLines="0"/>
              <w:jc w:val="center"/>
              <w:rPr>
                <w:rFonts w:ascii="宋体" w:eastAsia="宋体" w:hAnsi="宋体" w:cs="Tahoma" w:hint="eastAsia"/>
                <w:color w:val="000000"/>
                <w:kern w:val="0"/>
                <w:sz w:val="20"/>
                <w:szCs w:val="20"/>
              </w:rPr>
            </w:pPr>
            <w:r w:rsidRPr="00C53E77">
              <w:rPr>
                <w:rFonts w:ascii="宋体" w:eastAsia="宋体" w:hAnsi="宋体" w:cs="Tahoma" w:hint="eastAsia"/>
                <w:color w:val="000000"/>
                <w:kern w:val="0"/>
                <w:sz w:val="20"/>
                <w:szCs w:val="20"/>
              </w:rPr>
              <w:t>项目</w:t>
            </w:r>
          </w:p>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负责人</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项目名称</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项目参加人</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项目依托的课程名称</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项目编号</w:t>
            </w:r>
          </w:p>
        </w:tc>
        <w:tc>
          <w:tcPr>
            <w:tcW w:w="709" w:type="dxa"/>
            <w:shd w:val="clear" w:color="auto" w:fill="auto"/>
            <w:vAlign w:val="center"/>
            <w:hideMark/>
          </w:tcPr>
          <w:p w:rsidR="00C53E77" w:rsidRDefault="00C53E77" w:rsidP="00C53E77">
            <w:pPr>
              <w:widowControl/>
              <w:spacing w:before="75" w:afterLines="0"/>
              <w:jc w:val="center"/>
              <w:rPr>
                <w:rFonts w:ascii="宋体" w:eastAsia="宋体" w:hAnsi="宋体" w:cs="Tahoma" w:hint="eastAsia"/>
                <w:color w:val="000000"/>
                <w:kern w:val="0"/>
                <w:sz w:val="20"/>
                <w:szCs w:val="20"/>
              </w:rPr>
            </w:pPr>
            <w:r w:rsidRPr="00C53E77">
              <w:rPr>
                <w:rFonts w:ascii="宋体" w:eastAsia="宋体" w:hAnsi="宋体" w:cs="Tahoma" w:hint="eastAsia"/>
                <w:color w:val="000000"/>
                <w:kern w:val="0"/>
                <w:sz w:val="20"/>
                <w:szCs w:val="20"/>
              </w:rPr>
              <w:t>指导</w:t>
            </w:r>
          </w:p>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教师</w:t>
            </w:r>
          </w:p>
        </w:tc>
      </w:tr>
      <w:tr w:rsidR="00F72FC9"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1</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理学院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聂晶</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项目学习在大学物理理论教学中的应用</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杨秀一、邱东超、谷月、姜丽娜、叶震寰</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大学物理</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qnjj-2015-01</w:t>
            </w:r>
          </w:p>
        </w:tc>
        <w:tc>
          <w:tcPr>
            <w:tcW w:w="709" w:type="dxa"/>
            <w:vMerge w:val="restart"/>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方志刚</w:t>
            </w:r>
          </w:p>
        </w:tc>
      </w:tr>
      <w:tr w:rsidR="00F72FC9"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2</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理学院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赵健</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概率论与数理统计教学改革</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郭良栋、屠良平、张大庆、孙俊锁、刘昊、黄胜绢、胡煜寒</w:t>
            </w:r>
          </w:p>
        </w:tc>
        <w:tc>
          <w:tcPr>
            <w:tcW w:w="1559" w:type="dxa"/>
            <w:shd w:val="clear" w:color="auto" w:fill="auto"/>
            <w:vAlign w:val="center"/>
            <w:hideMark/>
          </w:tcPr>
          <w:p w:rsidR="00C53E77" w:rsidRDefault="00C53E77" w:rsidP="00C53E77">
            <w:pPr>
              <w:widowControl/>
              <w:spacing w:before="75" w:afterLines="0"/>
              <w:jc w:val="center"/>
              <w:rPr>
                <w:rFonts w:ascii="宋体" w:eastAsia="宋体" w:hAnsi="宋体" w:cs="Tahoma" w:hint="eastAsia"/>
                <w:color w:val="000000"/>
                <w:kern w:val="0"/>
                <w:sz w:val="20"/>
                <w:szCs w:val="20"/>
              </w:rPr>
            </w:pPr>
            <w:r w:rsidRPr="00C53E77">
              <w:rPr>
                <w:rFonts w:ascii="宋体" w:eastAsia="宋体" w:hAnsi="宋体" w:cs="Tahoma" w:hint="eastAsia"/>
                <w:color w:val="000000"/>
                <w:kern w:val="0"/>
                <w:sz w:val="20"/>
                <w:szCs w:val="20"/>
              </w:rPr>
              <w:t>概率论与</w:t>
            </w:r>
          </w:p>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数理统计</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qnjj-2015-02</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C53E77" w:rsidRPr="00C53E77" w:rsidTr="00F72FC9">
        <w:trPr>
          <w:trHeight w:val="840"/>
        </w:trPr>
        <w:tc>
          <w:tcPr>
            <w:tcW w:w="45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3</w:t>
            </w:r>
          </w:p>
        </w:tc>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理学院</w:t>
            </w:r>
          </w:p>
        </w:tc>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proofErr w:type="gramStart"/>
            <w:r w:rsidRPr="00C53E77">
              <w:rPr>
                <w:rFonts w:ascii="宋体" w:eastAsia="宋体" w:hAnsi="宋体" w:cs="Tahoma" w:hint="eastAsia"/>
                <w:color w:val="000000"/>
                <w:kern w:val="0"/>
                <w:sz w:val="20"/>
                <w:szCs w:val="20"/>
              </w:rPr>
              <w:t>丁桂艳</w:t>
            </w:r>
            <w:proofErr w:type="gramEnd"/>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概率论与数理统计的学时分配及辅导答疑的教学研究</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刘昊、齐淑彦、王艳、姜本源、张大庆、郭良栋、屠良平</w:t>
            </w:r>
          </w:p>
        </w:tc>
        <w:tc>
          <w:tcPr>
            <w:tcW w:w="1559" w:type="dxa"/>
            <w:shd w:val="clear" w:color="auto" w:fill="auto"/>
            <w:vAlign w:val="center"/>
            <w:hideMark/>
          </w:tcPr>
          <w:p w:rsidR="00C53E77" w:rsidRDefault="00C53E77" w:rsidP="00C53E77">
            <w:pPr>
              <w:widowControl/>
              <w:spacing w:before="75" w:afterLines="0"/>
              <w:jc w:val="center"/>
              <w:rPr>
                <w:rFonts w:ascii="宋体" w:eastAsia="宋体" w:hAnsi="宋体" w:cs="Tahoma" w:hint="eastAsia"/>
                <w:color w:val="000000"/>
                <w:kern w:val="0"/>
                <w:sz w:val="20"/>
                <w:szCs w:val="20"/>
              </w:rPr>
            </w:pPr>
            <w:r w:rsidRPr="00C53E77">
              <w:rPr>
                <w:rFonts w:ascii="宋体" w:eastAsia="宋体" w:hAnsi="宋体" w:cs="Tahoma" w:hint="eastAsia"/>
                <w:color w:val="000000"/>
                <w:kern w:val="0"/>
                <w:sz w:val="20"/>
                <w:szCs w:val="20"/>
              </w:rPr>
              <w:t>概率论与</w:t>
            </w:r>
          </w:p>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数理统计</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qnjj-2015-03</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885"/>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4</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化工学院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张伟</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生物工程专业《化工原理》理论与实践结合研究</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方志刚，王勇，高云，赵振宁</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化工原理及化工原理课程设计</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qnjj-2015-04</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5</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化工学院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赵振宁</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在化工机械教学中培养学生创新实践能力的探索</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方志刚 张伟</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化工机械</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qnjj-2015-05</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810"/>
        </w:trPr>
        <w:tc>
          <w:tcPr>
            <w:tcW w:w="45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6</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机械学院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郭爱华</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基于实践与创新为导向的计算机辅助工业设计教学模式构建</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冯永军、王玲、邓碧波</w:t>
            </w:r>
          </w:p>
        </w:tc>
        <w:tc>
          <w:tcPr>
            <w:tcW w:w="1559" w:type="dxa"/>
            <w:shd w:val="clear" w:color="auto" w:fill="auto"/>
            <w:vAlign w:val="center"/>
            <w:hideMark/>
          </w:tcPr>
          <w:p w:rsidR="00C53E77" w:rsidRDefault="00C53E77" w:rsidP="00C53E77">
            <w:pPr>
              <w:widowControl/>
              <w:spacing w:before="75" w:afterLines="0"/>
              <w:jc w:val="center"/>
              <w:rPr>
                <w:rFonts w:ascii="宋体" w:eastAsia="宋体" w:hAnsi="宋体" w:cs="Tahoma" w:hint="eastAsia"/>
                <w:color w:val="000000"/>
                <w:kern w:val="0"/>
                <w:sz w:val="20"/>
                <w:szCs w:val="20"/>
              </w:rPr>
            </w:pPr>
            <w:r w:rsidRPr="00C53E77">
              <w:rPr>
                <w:rFonts w:ascii="宋体" w:eastAsia="宋体" w:hAnsi="宋体" w:cs="Tahoma" w:hint="eastAsia"/>
                <w:color w:val="000000"/>
                <w:kern w:val="0"/>
                <w:sz w:val="20"/>
                <w:szCs w:val="20"/>
              </w:rPr>
              <w:t>计算机辅助</w:t>
            </w:r>
          </w:p>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设计(2)</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qnjj-2015-06</w:t>
            </w:r>
          </w:p>
        </w:tc>
        <w:tc>
          <w:tcPr>
            <w:tcW w:w="709" w:type="dxa"/>
            <w:vMerge w:val="restart"/>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冯永军</w:t>
            </w:r>
          </w:p>
        </w:tc>
      </w:tr>
      <w:tr w:rsidR="00F72FC9"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7</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机械学院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陈晓红</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液压系统PLC控制案例教学法的研究与实践</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姚瑶、王更柱、李海龙、张新宇、常学森、高旭、许春田</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液压系统PLC控制技术</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qnjj-2015-07</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8</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建艺</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proofErr w:type="gramStart"/>
            <w:r w:rsidRPr="00C53E77">
              <w:rPr>
                <w:rFonts w:ascii="宋体" w:eastAsia="宋体" w:hAnsi="宋体" w:cs="Tahoma" w:hint="eastAsia"/>
                <w:color w:val="000000"/>
                <w:kern w:val="0"/>
                <w:sz w:val="20"/>
                <w:szCs w:val="20"/>
              </w:rPr>
              <w:t>刘微</w:t>
            </w:r>
            <w:proofErr w:type="gramEnd"/>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基于学科竞赛培养学生团队协作能力的广告设计课程改革与实践</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刘声远、于欣波、罗名映、韩宇、赵艳、宋宛珍、张敖</w:t>
            </w:r>
          </w:p>
        </w:tc>
        <w:tc>
          <w:tcPr>
            <w:tcW w:w="1559" w:type="dxa"/>
            <w:shd w:val="clear" w:color="auto" w:fill="auto"/>
            <w:vAlign w:val="center"/>
            <w:hideMark/>
          </w:tcPr>
          <w:p w:rsidR="00C53E77" w:rsidRDefault="00C53E77" w:rsidP="00C53E77">
            <w:pPr>
              <w:widowControl/>
              <w:spacing w:before="75" w:afterLines="0"/>
              <w:jc w:val="center"/>
              <w:rPr>
                <w:rFonts w:ascii="宋体" w:eastAsia="宋体" w:hAnsi="宋体" w:cs="Tahoma" w:hint="eastAsia"/>
                <w:color w:val="000000"/>
                <w:kern w:val="0"/>
                <w:sz w:val="20"/>
                <w:szCs w:val="20"/>
              </w:rPr>
            </w:pPr>
            <w:r w:rsidRPr="00C53E77">
              <w:rPr>
                <w:rFonts w:ascii="宋体" w:eastAsia="宋体" w:hAnsi="宋体" w:cs="Tahoma" w:hint="eastAsia"/>
                <w:color w:val="000000"/>
                <w:kern w:val="0"/>
                <w:sz w:val="20"/>
                <w:szCs w:val="20"/>
              </w:rPr>
              <w:t>综合媒体</w:t>
            </w:r>
          </w:p>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广告设计</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qnjj-2015-08</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810"/>
        </w:trPr>
        <w:tc>
          <w:tcPr>
            <w:tcW w:w="45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9</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建艺</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proofErr w:type="gramStart"/>
            <w:r w:rsidRPr="00C53E77">
              <w:rPr>
                <w:rFonts w:ascii="宋体" w:eastAsia="宋体" w:hAnsi="宋体" w:cs="Tahoma" w:hint="eastAsia"/>
                <w:color w:val="000000"/>
                <w:kern w:val="0"/>
                <w:sz w:val="20"/>
                <w:szCs w:val="20"/>
              </w:rPr>
              <w:t>汪江</w:t>
            </w:r>
            <w:proofErr w:type="gramEnd"/>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基于实践型人才培养模式下的中国建筑史教学体系改革</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刘声远、于欣波、刘圆圆、王丽、刁艳、王维、刘原</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中国建筑史</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qnjj-2015-09</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10</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工程训练中心</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proofErr w:type="gramStart"/>
            <w:r w:rsidRPr="00C53E77">
              <w:rPr>
                <w:rFonts w:ascii="宋体" w:eastAsia="宋体" w:hAnsi="宋体" w:cs="Tahoma" w:hint="eastAsia"/>
                <w:color w:val="000000"/>
                <w:kern w:val="0"/>
                <w:sz w:val="20"/>
                <w:szCs w:val="20"/>
              </w:rPr>
              <w:t>刘乾</w:t>
            </w:r>
            <w:proofErr w:type="gramEnd"/>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双选分组式先进制造技术实践教学</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李东华、肖卿鹤、李艳辉、葛真、周玉华、康永玲、陈松</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金工实习</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qnjj-2015-10</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1035"/>
        </w:trPr>
        <w:tc>
          <w:tcPr>
            <w:tcW w:w="45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11</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外国语学院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黄晓丽</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国际化背景下基于</w:t>
            </w:r>
            <w:proofErr w:type="gramStart"/>
            <w:r w:rsidRPr="00C53E77">
              <w:rPr>
                <w:rFonts w:ascii="宋体" w:eastAsia="宋体" w:hAnsi="宋体" w:cs="Tahoma" w:hint="eastAsia"/>
                <w:color w:val="000000"/>
                <w:kern w:val="0"/>
                <w:sz w:val="20"/>
                <w:szCs w:val="20"/>
              </w:rPr>
              <w:t>互文性理论</w:t>
            </w:r>
            <w:proofErr w:type="gramEnd"/>
            <w:r w:rsidRPr="00C53E77">
              <w:rPr>
                <w:rFonts w:ascii="宋体" w:eastAsia="宋体" w:hAnsi="宋体" w:cs="Tahoma" w:hint="eastAsia"/>
                <w:color w:val="000000"/>
                <w:kern w:val="0"/>
                <w:sz w:val="20"/>
                <w:szCs w:val="20"/>
              </w:rPr>
              <w:t>的地方工科院校大学英语阅读教学研究</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陈宝翠、赵晴、任秀丽、金艳妮、徐妍</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大学英语</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qnjj-2015-11</w:t>
            </w:r>
          </w:p>
        </w:tc>
        <w:tc>
          <w:tcPr>
            <w:tcW w:w="709" w:type="dxa"/>
            <w:vMerge w:val="restart"/>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proofErr w:type="gramStart"/>
            <w:r w:rsidRPr="00C53E77">
              <w:rPr>
                <w:rFonts w:ascii="宋体" w:eastAsia="宋体" w:hAnsi="宋体" w:cs="Tahoma" w:hint="eastAsia"/>
                <w:color w:val="000000"/>
                <w:kern w:val="0"/>
                <w:sz w:val="20"/>
                <w:szCs w:val="20"/>
              </w:rPr>
              <w:t>汤苏宁</w:t>
            </w:r>
            <w:proofErr w:type="gramEnd"/>
          </w:p>
        </w:tc>
      </w:tr>
      <w:tr w:rsidR="00F72FC9"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12</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外国语学院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石峰</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proofErr w:type="gramStart"/>
            <w:r w:rsidRPr="00C53E77">
              <w:rPr>
                <w:rFonts w:ascii="宋体" w:eastAsia="宋体" w:hAnsi="宋体" w:cs="Tahoma" w:hint="eastAsia"/>
                <w:color w:val="000000"/>
                <w:kern w:val="0"/>
                <w:sz w:val="20"/>
                <w:szCs w:val="20"/>
              </w:rPr>
              <w:t>微课在</w:t>
            </w:r>
            <w:proofErr w:type="gramEnd"/>
            <w:r w:rsidRPr="00C53E77">
              <w:rPr>
                <w:rFonts w:ascii="宋体" w:eastAsia="宋体" w:hAnsi="宋体" w:cs="Tahoma" w:hint="eastAsia"/>
                <w:color w:val="000000"/>
                <w:kern w:val="0"/>
                <w:sz w:val="20"/>
                <w:szCs w:val="20"/>
              </w:rPr>
              <w:t>大学英语写作教学中的应用模式初探</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陈宝翠、蔡丽华、王一娇、田苗、舒静伟、曹炎军、杨凯</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大学英语</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qnjj-2015-12</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lastRenderedPageBreak/>
              <w:t>13</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国际</w:t>
            </w:r>
            <w:r w:rsidRPr="00C53E77">
              <w:rPr>
                <w:rFonts w:ascii="宋体" w:eastAsia="宋体" w:hAnsi="宋体" w:cs="Tahoma" w:hint="eastAsia"/>
                <w:color w:val="000000"/>
                <w:kern w:val="0"/>
                <w:sz w:val="20"/>
                <w:szCs w:val="20"/>
              </w:rPr>
              <w:br/>
              <w:t>教育学院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李颖</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基于视频载体的情景教学法在理工类院校德语基础教学中的应用研究</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汤苏宁、岳岩峰、</w:t>
            </w:r>
            <w:r w:rsidRPr="00C53E77">
              <w:rPr>
                <w:rFonts w:ascii="宋体" w:eastAsia="宋体" w:hAnsi="宋体" w:cs="Tahoma" w:hint="eastAsia"/>
                <w:color w:val="000000"/>
                <w:kern w:val="0"/>
                <w:sz w:val="20"/>
                <w:szCs w:val="20"/>
              </w:rPr>
              <w:br/>
              <w:t>张婷、马虹</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第二外语（德语）</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qnjj-2015-13</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14</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经法学院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王英凯</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基于就业导向的提升大学生自主学习能力的探索——以《国际结算》课程为例</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李彦哲、贾丹、魏晓妍、王小明</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国际结算</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qnjj-2015-14</w:t>
            </w:r>
          </w:p>
        </w:tc>
        <w:tc>
          <w:tcPr>
            <w:tcW w:w="709" w:type="dxa"/>
            <w:vMerge w:val="restart"/>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宋怡林</w:t>
            </w:r>
          </w:p>
        </w:tc>
      </w:tr>
      <w:tr w:rsidR="00F72FC9" w:rsidRPr="00C53E77" w:rsidTr="00F72FC9">
        <w:trPr>
          <w:trHeight w:val="810"/>
        </w:trPr>
        <w:tc>
          <w:tcPr>
            <w:tcW w:w="45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15</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工商管理学院</w:t>
            </w:r>
          </w:p>
        </w:tc>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刘万兆</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“创业课程”教学内容、方法改革</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李学东、周春男、宋伟、徐大勇、初宇平</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创业管理</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qnjj-2015-15</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C53E77"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16</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工商管理学院</w:t>
            </w:r>
          </w:p>
        </w:tc>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李响</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让课堂“翻转”起来—</w:t>
            </w:r>
            <w:proofErr w:type="gramStart"/>
            <w:r w:rsidRPr="00C53E77">
              <w:rPr>
                <w:rFonts w:ascii="宋体" w:eastAsia="宋体" w:hAnsi="宋体" w:cs="Tahoma" w:hint="eastAsia"/>
                <w:color w:val="000000"/>
                <w:kern w:val="0"/>
                <w:sz w:val="20"/>
                <w:szCs w:val="20"/>
              </w:rPr>
              <w:t>引入微课的</w:t>
            </w:r>
            <w:proofErr w:type="gramEnd"/>
            <w:r w:rsidRPr="00C53E77">
              <w:rPr>
                <w:rFonts w:ascii="宋体" w:eastAsia="宋体" w:hAnsi="宋体" w:cs="Tahoma" w:hint="eastAsia"/>
                <w:color w:val="000000"/>
                <w:kern w:val="0"/>
                <w:sz w:val="20"/>
                <w:szCs w:val="20"/>
              </w:rPr>
              <w:t>《中级财务会计》课程教学改革研究</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王谦、王宏波、李华、刘丽</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中级财务会计</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qnjj-2015-16</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1305"/>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17</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人文社科部</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孟晓东</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基于自媒体的思想道德修养与法律基础课实效性研究</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周博文、张玉阁、王继明、王智峰、徐永顺、王东、蔡秀亮</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思想道德修养与法律基础</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qnjj-2015-17</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810"/>
        </w:trPr>
        <w:tc>
          <w:tcPr>
            <w:tcW w:w="45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18</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材料与冶金学院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冯亮花</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合班授课多元化考核评价体系构建</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刘坤，刘颖杰，</w:t>
            </w:r>
            <w:proofErr w:type="gramStart"/>
            <w:r w:rsidRPr="00C53E77">
              <w:rPr>
                <w:rFonts w:ascii="宋体" w:eastAsia="宋体" w:hAnsi="宋体" w:cs="Tahoma" w:hint="eastAsia"/>
                <w:color w:val="000000"/>
                <w:kern w:val="0"/>
                <w:sz w:val="20"/>
                <w:szCs w:val="20"/>
              </w:rPr>
              <w:t>霍兆义</w:t>
            </w:r>
            <w:proofErr w:type="gramEnd"/>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流体力学</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qnjj-2015-18</w:t>
            </w:r>
          </w:p>
        </w:tc>
        <w:tc>
          <w:tcPr>
            <w:tcW w:w="709" w:type="dxa"/>
            <w:vMerge w:val="restart"/>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卢艳青</w:t>
            </w:r>
          </w:p>
        </w:tc>
      </w:tr>
      <w:tr w:rsidR="00F72FC9"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19</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材料与冶金学院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proofErr w:type="gramStart"/>
            <w:r w:rsidRPr="00C53E77">
              <w:rPr>
                <w:rFonts w:ascii="宋体" w:eastAsia="宋体" w:hAnsi="宋体" w:cs="Tahoma" w:hint="eastAsia"/>
                <w:color w:val="000000"/>
                <w:kern w:val="0"/>
                <w:sz w:val="20"/>
                <w:szCs w:val="20"/>
              </w:rPr>
              <w:t>刘忠锁</w:t>
            </w:r>
            <w:proofErr w:type="gramEnd"/>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冶金传输原理习题集建设研究与实践</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刘坤、王志英</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冶金传输原理</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qnjj-2015-19</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20</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艺术学院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proofErr w:type="gramStart"/>
            <w:r w:rsidRPr="00C53E77">
              <w:rPr>
                <w:rFonts w:ascii="宋体" w:eastAsia="宋体" w:hAnsi="宋体" w:cs="Tahoma" w:hint="eastAsia"/>
                <w:color w:val="000000"/>
                <w:kern w:val="0"/>
                <w:sz w:val="20"/>
                <w:szCs w:val="20"/>
              </w:rPr>
              <w:t>闫</w:t>
            </w:r>
            <w:proofErr w:type="gramEnd"/>
            <w:r w:rsidRPr="00C53E77">
              <w:rPr>
                <w:rFonts w:ascii="宋体" w:eastAsia="宋体" w:hAnsi="宋体" w:cs="Tahoma" w:hint="eastAsia"/>
                <w:color w:val="000000"/>
                <w:kern w:val="0"/>
                <w:sz w:val="20"/>
                <w:szCs w:val="20"/>
              </w:rPr>
              <w:t>礁</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以培养应用型人才为目标的钢琴集体课教学改革</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田洁、孙兴友、何冠宇、张潇尹、安娜、李卓</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钢琴</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qnjj-2015-20</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810"/>
        </w:trPr>
        <w:tc>
          <w:tcPr>
            <w:tcW w:w="45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21</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艺术学院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马琳</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《中西音乐史》教学方式的研究与实践</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梁中双、李红、李卓、姜华、张鹏飞</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中西音乐史</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qnjj-2015-21</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108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22</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艺术学院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李红</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开展大学生素质教育“微课”教学模式的探索与尝试</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马琳、王洋、裴冠红、李响、周子琳、张彦如</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影视艺术概论、中西方音乐史、曲艺概论、舞蹈概论、影视作品赏析</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qnjj-2015-22</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23</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矿业学院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王倩倩</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《二次资源回收与利用》的小组合作学习探索与实践</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陈中航 、王恩雷、侯英、王晓丽</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二次资源回收与利用</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qnjj-2015-23</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C53E77" w:rsidRPr="00C53E77" w:rsidTr="00F72FC9">
        <w:trPr>
          <w:trHeight w:val="810"/>
        </w:trPr>
        <w:tc>
          <w:tcPr>
            <w:tcW w:w="45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24</w:t>
            </w:r>
          </w:p>
        </w:tc>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电信学院</w:t>
            </w:r>
          </w:p>
        </w:tc>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丁宁</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三维立体式教学模式导入</w:t>
            </w:r>
            <w:r w:rsidRPr="00C53E77">
              <w:rPr>
                <w:rFonts w:ascii="宋体" w:eastAsia="宋体" w:hAnsi="宋体" w:cs="Tahoma" w:hint="eastAsia"/>
                <w:color w:val="000000"/>
                <w:kern w:val="0"/>
                <w:sz w:val="20"/>
                <w:szCs w:val="20"/>
              </w:rPr>
              <w:br/>
              <w:t>《汇编语言》教学探索及应用</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张学东、孙红星、</w:t>
            </w:r>
            <w:r w:rsidRPr="00C53E77">
              <w:rPr>
                <w:rFonts w:ascii="宋体" w:eastAsia="宋体" w:hAnsi="宋体" w:cs="Tahoma" w:hint="eastAsia"/>
                <w:color w:val="000000"/>
                <w:kern w:val="0"/>
                <w:sz w:val="20"/>
                <w:szCs w:val="20"/>
              </w:rPr>
              <w:br/>
              <w:t>王莉、刘扬、</w:t>
            </w:r>
            <w:r w:rsidRPr="00C53E77">
              <w:rPr>
                <w:rFonts w:ascii="宋体" w:eastAsia="宋体" w:hAnsi="宋体" w:cs="Tahoma" w:hint="eastAsia"/>
                <w:color w:val="000000"/>
                <w:kern w:val="0"/>
                <w:sz w:val="20"/>
                <w:szCs w:val="20"/>
              </w:rPr>
              <w:br/>
              <w:t>李桂丽、周自维</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汇编语言</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qnjj-2015-24</w:t>
            </w:r>
          </w:p>
        </w:tc>
        <w:tc>
          <w:tcPr>
            <w:tcW w:w="709" w:type="dxa"/>
            <w:vMerge w:val="restart"/>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杨永辉</w:t>
            </w:r>
          </w:p>
        </w:tc>
      </w:tr>
      <w:tr w:rsidR="00C53E77"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lastRenderedPageBreak/>
              <w:t>25</w:t>
            </w:r>
          </w:p>
        </w:tc>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电信学院</w:t>
            </w:r>
          </w:p>
        </w:tc>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张志华</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《运动控制系统》教学中仿真</w:t>
            </w:r>
            <w:r w:rsidRPr="00C53E77">
              <w:rPr>
                <w:rFonts w:ascii="宋体" w:eastAsia="宋体" w:hAnsi="宋体" w:cs="Tahoma" w:hint="eastAsia"/>
                <w:color w:val="000000"/>
                <w:kern w:val="0"/>
                <w:sz w:val="20"/>
                <w:szCs w:val="20"/>
              </w:rPr>
              <w:br/>
              <w:t>技术的探索与应用</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徐建英、马连增、</w:t>
            </w:r>
            <w:r w:rsidRPr="00C53E77">
              <w:rPr>
                <w:rFonts w:ascii="宋体" w:eastAsia="宋体" w:hAnsi="宋体" w:cs="Tahoma" w:hint="eastAsia"/>
                <w:color w:val="000000"/>
                <w:kern w:val="0"/>
                <w:sz w:val="20"/>
                <w:szCs w:val="20"/>
              </w:rPr>
              <w:br/>
            </w:r>
            <w:proofErr w:type="gramStart"/>
            <w:r w:rsidRPr="00C53E77">
              <w:rPr>
                <w:rFonts w:ascii="宋体" w:eastAsia="宋体" w:hAnsi="宋体" w:cs="Tahoma" w:hint="eastAsia"/>
                <w:color w:val="000000"/>
                <w:kern w:val="0"/>
                <w:sz w:val="20"/>
                <w:szCs w:val="20"/>
              </w:rPr>
              <w:t>赫</w:t>
            </w:r>
            <w:proofErr w:type="gramEnd"/>
            <w:r w:rsidRPr="00C53E77">
              <w:rPr>
                <w:rFonts w:ascii="宋体" w:eastAsia="宋体" w:hAnsi="宋体" w:cs="Tahoma" w:hint="eastAsia"/>
                <w:color w:val="000000"/>
                <w:kern w:val="0"/>
                <w:sz w:val="20"/>
                <w:szCs w:val="20"/>
              </w:rPr>
              <w:t>健、解凌云、</w:t>
            </w:r>
            <w:r w:rsidRPr="00C53E77">
              <w:rPr>
                <w:rFonts w:ascii="宋体" w:eastAsia="宋体" w:hAnsi="宋体" w:cs="Tahoma" w:hint="eastAsia"/>
                <w:color w:val="000000"/>
                <w:kern w:val="0"/>
                <w:sz w:val="20"/>
                <w:szCs w:val="20"/>
              </w:rPr>
              <w:br/>
            </w:r>
            <w:proofErr w:type="gramStart"/>
            <w:r w:rsidRPr="00C53E77">
              <w:rPr>
                <w:rFonts w:ascii="宋体" w:eastAsia="宋体" w:hAnsi="宋体" w:cs="Tahoma" w:hint="eastAsia"/>
                <w:color w:val="000000"/>
                <w:kern w:val="0"/>
                <w:sz w:val="20"/>
                <w:szCs w:val="20"/>
              </w:rPr>
              <w:t>常晓帆</w:t>
            </w:r>
            <w:proofErr w:type="gramEnd"/>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运动控制系统</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qnjj-2015-25</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93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26</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体育部</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proofErr w:type="gramStart"/>
            <w:r w:rsidRPr="00C53E77">
              <w:rPr>
                <w:rFonts w:ascii="宋体" w:eastAsia="宋体" w:hAnsi="宋体" w:cs="Tahoma" w:hint="eastAsia"/>
                <w:color w:val="000000"/>
                <w:kern w:val="0"/>
                <w:sz w:val="20"/>
                <w:szCs w:val="20"/>
              </w:rPr>
              <w:t>贾岩</w:t>
            </w:r>
            <w:proofErr w:type="gramEnd"/>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大学篮球教学方法改革研究</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张波、王世友、张麟、李淑娟、焦英奇、徐春宁、王丹</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大学篮球</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qnjj-2015-26</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930"/>
        </w:trPr>
        <w:tc>
          <w:tcPr>
            <w:tcW w:w="45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27</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软件学院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袁平</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基于MOOC的Web设计基础课程翻转课堂的研究</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徐杨、王瑞、孙良旭</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Web设计基础</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qnjj-2015-27</w:t>
            </w:r>
          </w:p>
        </w:tc>
        <w:tc>
          <w:tcPr>
            <w:tcW w:w="709" w:type="dxa"/>
            <w:vMerge w:val="restart"/>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proofErr w:type="gramStart"/>
            <w:r w:rsidRPr="00C53E77">
              <w:rPr>
                <w:rFonts w:ascii="宋体" w:eastAsia="宋体" w:hAnsi="宋体" w:cs="Tahoma" w:hint="eastAsia"/>
                <w:color w:val="000000"/>
                <w:kern w:val="0"/>
                <w:sz w:val="20"/>
                <w:szCs w:val="20"/>
              </w:rPr>
              <w:t>迟呈英</w:t>
            </w:r>
            <w:proofErr w:type="gramEnd"/>
          </w:p>
        </w:tc>
      </w:tr>
      <w:tr w:rsidR="00F72FC9" w:rsidRPr="00C53E77" w:rsidTr="00F72FC9">
        <w:trPr>
          <w:trHeight w:val="945"/>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28</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软件学院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张美娜</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项目驱动的《软件工程》教学改革与实践研究</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曾子维、张玉军、孙良旭、杨丹、董立文、张媛媛、谭丹丹</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软件工程</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qnjj-2015-28</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29</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土木学院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高华国</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案例与讨论式教学结合切实提高教学质量</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徐凌、刘洪滨、李昊、张彤、高松、高振星、</w:t>
            </w:r>
            <w:proofErr w:type="gramStart"/>
            <w:r w:rsidRPr="00C53E77">
              <w:rPr>
                <w:rFonts w:ascii="宋体" w:eastAsia="宋体" w:hAnsi="宋体" w:cs="Tahoma" w:hint="eastAsia"/>
                <w:color w:val="000000"/>
                <w:kern w:val="0"/>
                <w:sz w:val="20"/>
                <w:szCs w:val="20"/>
              </w:rPr>
              <w:t>都洋</w:t>
            </w:r>
            <w:proofErr w:type="gramEnd"/>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工程力学</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qnjj-2015-29</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810"/>
        </w:trPr>
        <w:tc>
          <w:tcPr>
            <w:tcW w:w="45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30</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土木学院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孙立霞</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proofErr w:type="gramStart"/>
            <w:r w:rsidRPr="00C53E77">
              <w:rPr>
                <w:rFonts w:ascii="宋体" w:eastAsia="宋体" w:hAnsi="宋体" w:cs="Tahoma" w:hint="eastAsia"/>
                <w:color w:val="000000"/>
                <w:kern w:val="0"/>
                <w:sz w:val="20"/>
                <w:szCs w:val="20"/>
              </w:rPr>
              <w:t>微课在</w:t>
            </w:r>
            <w:proofErr w:type="gramEnd"/>
            <w:r w:rsidRPr="00C53E77">
              <w:rPr>
                <w:rFonts w:ascii="宋体" w:eastAsia="宋体" w:hAnsi="宋体" w:cs="Tahoma" w:hint="eastAsia"/>
                <w:color w:val="000000"/>
                <w:kern w:val="0"/>
                <w:sz w:val="20"/>
                <w:szCs w:val="20"/>
              </w:rPr>
              <w:t>《道路勘探设计》课程教学中的应用</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张晏、李丹、林增华</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道路勘测设计</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qnjj-2015-30</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81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31</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应用技术学院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王 博</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《Web系统开发技术》课程教学方法改革研究与实践</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敖广武、周成义、奚小玲、芦晓军、李轶然</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Web系统开发技术</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qnjj-2015-31</w:t>
            </w:r>
          </w:p>
        </w:tc>
        <w:tc>
          <w:tcPr>
            <w:tcW w:w="709" w:type="dxa"/>
            <w:vMerge w:val="restart"/>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卢晓君</w:t>
            </w:r>
          </w:p>
        </w:tc>
      </w:tr>
      <w:tr w:rsidR="00F72FC9" w:rsidRPr="00C53E77" w:rsidTr="00F72FC9">
        <w:trPr>
          <w:trHeight w:val="810"/>
        </w:trPr>
        <w:tc>
          <w:tcPr>
            <w:tcW w:w="45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32</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应用技术学院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proofErr w:type="gramStart"/>
            <w:r w:rsidRPr="00C53E77">
              <w:rPr>
                <w:rFonts w:ascii="宋体" w:eastAsia="宋体" w:hAnsi="宋体" w:cs="Tahoma" w:hint="eastAsia"/>
                <w:color w:val="000000"/>
                <w:kern w:val="0"/>
                <w:sz w:val="20"/>
                <w:szCs w:val="20"/>
              </w:rPr>
              <w:t>刘吉辉</w:t>
            </w:r>
            <w:proofErr w:type="gramEnd"/>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项目教学及其考试方法改革在冶金设备与车间课程中的创新与实践</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李春福、关志刚、孙彬斌、王艳、张振山、廖亚莉</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冶金设备与车间设计</w:t>
            </w:r>
          </w:p>
        </w:tc>
        <w:tc>
          <w:tcPr>
            <w:tcW w:w="1417"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qnjj-2015-32</w:t>
            </w: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r w:rsidR="00F72FC9" w:rsidRPr="00C53E77" w:rsidTr="00F72FC9">
        <w:trPr>
          <w:trHeight w:val="720"/>
        </w:trPr>
        <w:tc>
          <w:tcPr>
            <w:tcW w:w="0" w:type="auto"/>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33</w:t>
            </w:r>
          </w:p>
        </w:tc>
        <w:tc>
          <w:tcPr>
            <w:tcW w:w="1098"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应用技术学院</w:t>
            </w:r>
          </w:p>
        </w:tc>
        <w:tc>
          <w:tcPr>
            <w:tcW w:w="974"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宜素环</w:t>
            </w:r>
          </w:p>
        </w:tc>
        <w:tc>
          <w:tcPr>
            <w:tcW w:w="2166"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将“微课”“微信”融入到《高等数学》课程教学的改革与探索</w:t>
            </w:r>
          </w:p>
        </w:tc>
        <w:tc>
          <w:tcPr>
            <w:tcW w:w="196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单秀丽、梁妍、付晓春、张升泉</w:t>
            </w:r>
          </w:p>
        </w:tc>
        <w:tc>
          <w:tcPr>
            <w:tcW w:w="1559" w:type="dxa"/>
            <w:shd w:val="clear" w:color="auto" w:fill="auto"/>
            <w:vAlign w:val="center"/>
            <w:hideMark/>
          </w:tcPr>
          <w:p w:rsidR="00C53E77" w:rsidRPr="00C53E77" w:rsidRDefault="00C53E77" w:rsidP="00C53E77">
            <w:pPr>
              <w:widowControl/>
              <w:spacing w:before="75" w:afterLines="0"/>
              <w:jc w:val="center"/>
              <w:rPr>
                <w:rFonts w:ascii="Tahoma" w:eastAsia="宋体" w:hAnsi="Tahoma" w:cs="Tahoma"/>
                <w:color w:val="000000"/>
                <w:kern w:val="0"/>
                <w:sz w:val="18"/>
                <w:szCs w:val="18"/>
              </w:rPr>
            </w:pPr>
            <w:r w:rsidRPr="00C53E77">
              <w:rPr>
                <w:rFonts w:ascii="宋体" w:eastAsia="宋体" w:hAnsi="宋体" w:cs="Tahoma" w:hint="eastAsia"/>
                <w:color w:val="000000"/>
                <w:kern w:val="0"/>
                <w:sz w:val="20"/>
                <w:szCs w:val="20"/>
              </w:rPr>
              <w:t>高等数学</w:t>
            </w:r>
          </w:p>
        </w:tc>
        <w:tc>
          <w:tcPr>
            <w:tcW w:w="1417" w:type="dxa"/>
            <w:vAlign w:val="center"/>
            <w:hideMark/>
          </w:tcPr>
          <w:p w:rsidR="00C53E77" w:rsidRPr="00C53E77" w:rsidRDefault="00C53E77" w:rsidP="00C53E77">
            <w:pPr>
              <w:widowControl/>
              <w:spacing w:afterLines="0"/>
              <w:jc w:val="left"/>
              <w:rPr>
                <w:rFonts w:ascii="Times New Roman" w:eastAsia="Times New Roman" w:hAnsi="Times New Roman" w:cs="Times New Roman"/>
                <w:kern w:val="0"/>
                <w:sz w:val="20"/>
                <w:szCs w:val="20"/>
              </w:rPr>
            </w:pPr>
          </w:p>
        </w:tc>
        <w:tc>
          <w:tcPr>
            <w:tcW w:w="709" w:type="dxa"/>
            <w:vMerge/>
            <w:vAlign w:val="center"/>
            <w:hideMark/>
          </w:tcPr>
          <w:p w:rsidR="00C53E77" w:rsidRPr="00C53E77" w:rsidRDefault="00C53E77" w:rsidP="00C53E77">
            <w:pPr>
              <w:widowControl/>
              <w:spacing w:afterLines="0"/>
              <w:jc w:val="left"/>
              <w:rPr>
                <w:rFonts w:ascii="Tahoma" w:eastAsia="宋体" w:hAnsi="Tahoma" w:cs="Tahoma"/>
                <w:color w:val="000000"/>
                <w:kern w:val="0"/>
                <w:sz w:val="18"/>
                <w:szCs w:val="18"/>
              </w:rPr>
            </w:pPr>
          </w:p>
        </w:tc>
      </w:tr>
    </w:tbl>
    <w:p w:rsidR="00773E7D" w:rsidRDefault="00773E7D" w:rsidP="00672453">
      <w:pPr>
        <w:spacing w:after="156"/>
      </w:pPr>
    </w:p>
    <w:sectPr w:rsidR="00773E7D" w:rsidSect="00773E7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3E77"/>
    <w:rsid w:val="00095661"/>
    <w:rsid w:val="004A5776"/>
    <w:rsid w:val="00672453"/>
    <w:rsid w:val="00773E7D"/>
    <w:rsid w:val="00C53E77"/>
    <w:rsid w:val="00F72F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Lines="5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E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3E77"/>
    <w:pPr>
      <w:widowControl/>
      <w:spacing w:before="75" w:afterLines="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6126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387</Words>
  <Characters>2207</Characters>
  <Application>Microsoft Office Word</Application>
  <DocSecurity>0</DocSecurity>
  <Lines>18</Lines>
  <Paragraphs>5</Paragraphs>
  <ScaleCrop>false</ScaleCrop>
  <Company>Sky123.Org</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cp:revision>
  <dcterms:created xsi:type="dcterms:W3CDTF">2015-11-05T05:59:00Z</dcterms:created>
  <dcterms:modified xsi:type="dcterms:W3CDTF">2015-11-05T08:08:00Z</dcterms:modified>
</cp:coreProperties>
</file>